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1C6606A"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6D56A2">
        <w:rPr>
          <w:rFonts w:cs="Arial"/>
          <w:bCs/>
          <w:noProof w:val="0"/>
          <w:sz w:val="24"/>
          <w:szCs w:val="24"/>
        </w:rPr>
        <w:t>bis</w:t>
      </w:r>
      <w:r w:rsidR="00CD4C7B" w:rsidRPr="00C639BE">
        <w:rPr>
          <w:rFonts w:cs="Arial"/>
          <w:bCs/>
          <w:noProof w:val="0"/>
          <w:sz w:val="24"/>
          <w:szCs w:val="24"/>
        </w:rPr>
        <w:tab/>
      </w:r>
      <w:bookmarkStart w:id="0" w:name="_GoBack"/>
      <w:r w:rsidR="00C61310" w:rsidRPr="00C61310">
        <w:rPr>
          <w:rFonts w:cs="Arial"/>
          <w:bCs/>
          <w:i/>
          <w:noProof w:val="0"/>
          <w:sz w:val="24"/>
          <w:szCs w:val="24"/>
        </w:rPr>
        <w:t>R2-1916195</w:t>
      </w:r>
      <w:bookmarkEnd w:id="0"/>
    </w:p>
    <w:p w14:paraId="231362B2" w14:textId="2CD1A465" w:rsidR="00CD4C7B" w:rsidRPr="00C639BE" w:rsidRDefault="0005169D" w:rsidP="00CD4C7B">
      <w:pPr>
        <w:pStyle w:val="Header"/>
        <w:tabs>
          <w:tab w:val="right" w:pos="9639"/>
        </w:tabs>
        <w:rPr>
          <w:rFonts w:cs="Arial"/>
          <w:bCs/>
          <w:noProof w:val="0"/>
          <w:sz w:val="24"/>
          <w:szCs w:val="24"/>
        </w:rPr>
      </w:pPr>
      <w:r>
        <w:rPr>
          <w:rFonts w:eastAsia="SimSun" w:cs="Arial"/>
          <w:noProof w:val="0"/>
          <w:sz w:val="24"/>
          <w:szCs w:val="24"/>
          <w:lang w:eastAsia="zh-CN"/>
        </w:rPr>
        <w:t>Reno</w:t>
      </w:r>
      <w:r w:rsidR="00482723" w:rsidRPr="00C639BE">
        <w:rPr>
          <w:rFonts w:eastAsia="SimSun" w:cs="Arial"/>
          <w:noProof w:val="0"/>
          <w:sz w:val="24"/>
          <w:szCs w:val="24"/>
          <w:lang w:eastAsia="zh-CN"/>
        </w:rPr>
        <w:t xml:space="preserve">, </w:t>
      </w:r>
      <w:r>
        <w:rPr>
          <w:rFonts w:eastAsia="SimSun" w:cs="Arial"/>
          <w:noProof w:val="0"/>
          <w:sz w:val="24"/>
          <w:szCs w:val="24"/>
          <w:lang w:eastAsia="zh-CN"/>
        </w:rPr>
        <w:t>Nevada, USA</w:t>
      </w:r>
      <w:r w:rsidR="00482723">
        <w:rPr>
          <w:rFonts w:eastAsia="SimSun" w:cs="Arial"/>
          <w:noProof w:val="0"/>
          <w:sz w:val="24"/>
          <w:szCs w:val="24"/>
          <w:lang w:eastAsia="zh-CN"/>
        </w:rPr>
        <w:t xml:space="preserve">, </w:t>
      </w:r>
      <w:r w:rsidR="006D56A2">
        <w:rPr>
          <w:rFonts w:eastAsia="SimSun" w:cs="Arial"/>
          <w:noProof w:val="0"/>
          <w:sz w:val="24"/>
          <w:szCs w:val="24"/>
          <w:lang w:eastAsia="zh-CN"/>
        </w:rPr>
        <w:t>1</w:t>
      </w:r>
      <w:r>
        <w:rPr>
          <w:rFonts w:eastAsia="SimSun" w:cs="Arial"/>
          <w:noProof w:val="0"/>
          <w:sz w:val="24"/>
          <w:szCs w:val="24"/>
          <w:lang w:eastAsia="zh-CN"/>
        </w:rPr>
        <w:t>8</w:t>
      </w:r>
      <w:r w:rsidR="00482723" w:rsidRPr="00C639BE">
        <w:rPr>
          <w:rFonts w:eastAsia="SimSun" w:cs="Arial"/>
          <w:noProof w:val="0"/>
          <w:sz w:val="24"/>
          <w:szCs w:val="24"/>
          <w:lang w:eastAsia="zh-CN"/>
        </w:rPr>
        <w:t xml:space="preserve"> – </w:t>
      </w:r>
      <w:r>
        <w:rPr>
          <w:rFonts w:eastAsia="SimSun" w:cs="Arial"/>
          <w:noProof w:val="0"/>
          <w:sz w:val="24"/>
          <w:szCs w:val="24"/>
          <w:lang w:eastAsia="zh-CN"/>
        </w:rPr>
        <w:t>22</w:t>
      </w:r>
      <w:r w:rsidR="00482723" w:rsidRPr="00C639BE">
        <w:rPr>
          <w:rFonts w:eastAsia="SimSun" w:cs="Arial"/>
          <w:noProof w:val="0"/>
          <w:sz w:val="24"/>
          <w:szCs w:val="24"/>
          <w:lang w:eastAsia="zh-CN"/>
        </w:rPr>
        <w:t xml:space="preserve"> </w:t>
      </w:r>
      <w:r>
        <w:rPr>
          <w:rFonts w:eastAsia="SimSun" w:cs="Arial"/>
          <w:noProof w:val="0"/>
          <w:sz w:val="24"/>
          <w:szCs w:val="24"/>
          <w:lang w:eastAsia="zh-CN"/>
        </w:rPr>
        <w:t xml:space="preserve">Nov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80D090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082C05">
        <w:rPr>
          <w:rFonts w:cs="Arial"/>
          <w:b/>
          <w:bCs/>
          <w:sz w:val="24"/>
          <w:szCs w:val="24"/>
          <w:lang w:eastAsia="ja-JP"/>
        </w:rPr>
        <w:t>6</w:t>
      </w:r>
      <w:r w:rsidR="00237FF5" w:rsidRPr="00C639BE">
        <w:rPr>
          <w:rFonts w:cs="Arial"/>
          <w:b/>
          <w:bCs/>
          <w:sz w:val="24"/>
          <w:szCs w:val="24"/>
          <w:lang w:eastAsia="ja-JP"/>
        </w:rPr>
        <w:t>.9.3</w:t>
      </w:r>
      <w:r w:rsidR="006D56A2">
        <w:rPr>
          <w:rFonts w:cs="Arial"/>
          <w:b/>
          <w:bCs/>
          <w:sz w:val="24"/>
          <w:szCs w:val="24"/>
          <w:lang w:eastAsia="ja-JP"/>
        </w:rPr>
        <w:t>.</w:t>
      </w:r>
      <w:r w:rsidR="00082C05">
        <w:rPr>
          <w:rFonts w:cs="Arial"/>
          <w:b/>
          <w:bCs/>
          <w:sz w:val="24"/>
          <w:szCs w:val="24"/>
          <w:lang w:eastAsia="ja-JP"/>
        </w:rPr>
        <w:t>4</w:t>
      </w:r>
    </w:p>
    <w:p w14:paraId="6A1BC0C1" w14:textId="7BDBB7D2"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r w:rsidR="00377A71">
        <w:rPr>
          <w:rFonts w:ascii="Arial" w:hAnsi="Arial" w:cs="Arial"/>
          <w:b/>
          <w:bCs/>
          <w:sz w:val="24"/>
        </w:rPr>
        <w:t xml:space="preserve">, </w:t>
      </w:r>
      <w:r w:rsidR="00377A71" w:rsidRPr="00C31EFB">
        <w:rPr>
          <w:rFonts w:ascii="Arial" w:hAnsi="Arial" w:cs="Arial" w:hint="eastAsia"/>
          <w:b/>
          <w:bCs/>
          <w:sz w:val="24"/>
        </w:rPr>
        <w:t>Nokia, Nokia Shanghai Bell</w:t>
      </w:r>
      <w:r w:rsidR="00377A71" w:rsidRPr="00C31EFB">
        <w:rPr>
          <w:rFonts w:ascii="Arial" w:hAnsi="Arial" w:cs="Arial"/>
          <w:b/>
          <w:bCs/>
          <w:sz w:val="24"/>
        </w:rPr>
        <w:t>, Qualcomm Incorporated</w:t>
      </w:r>
    </w:p>
    <w:p w14:paraId="45BE90BE" w14:textId="10925240"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C61310">
        <w:rPr>
          <w:rFonts w:ascii="Arial" w:hAnsi="Arial" w:cs="Arial"/>
          <w:b/>
          <w:bCs/>
          <w:sz w:val="24"/>
        </w:rPr>
        <w:t>Confirmation of working assumption</w:t>
      </w:r>
      <w:r w:rsidR="0071730A" w:rsidRPr="0071730A">
        <w:rPr>
          <w:rFonts w:ascii="Arial" w:hAnsi="Arial" w:cs="Arial"/>
          <w:b/>
          <w:bCs/>
          <w:sz w:val="24"/>
        </w:rPr>
        <w:t xml:space="preserve"> </w:t>
      </w:r>
      <w:r w:rsidR="00C61310">
        <w:rPr>
          <w:rFonts w:ascii="Arial" w:hAnsi="Arial" w:cs="Arial"/>
          <w:b/>
          <w:bCs/>
          <w:sz w:val="24"/>
        </w:rPr>
        <w:t>for</w:t>
      </w:r>
      <w:r w:rsidR="0071730A" w:rsidRPr="0071730A">
        <w:rPr>
          <w:rFonts w:ascii="Arial" w:hAnsi="Arial" w:cs="Arial"/>
          <w:b/>
          <w:bCs/>
          <w:sz w:val="24"/>
        </w:rPr>
        <w:t xml:space="preserve"> </w:t>
      </w:r>
      <w:r w:rsidR="006D56A2">
        <w:rPr>
          <w:rFonts w:ascii="Arial" w:hAnsi="Arial" w:cs="Arial"/>
          <w:b/>
          <w:bCs/>
          <w:sz w:val="24"/>
        </w:rPr>
        <w:t>T312</w:t>
      </w:r>
      <w:r w:rsidR="0005169D">
        <w:rPr>
          <w:rFonts w:ascii="Arial" w:hAnsi="Arial" w:cs="Arial"/>
          <w:b/>
          <w:bCs/>
          <w:sz w:val="24"/>
        </w:rPr>
        <w:t xml:space="preserve"> </w:t>
      </w:r>
      <w:r w:rsidR="00C61310">
        <w:rPr>
          <w:rFonts w:ascii="Arial" w:hAnsi="Arial" w:cs="Arial"/>
          <w:b/>
          <w:bCs/>
          <w:sz w:val="24"/>
        </w:rPr>
        <w:t xml:space="preserve">support </w:t>
      </w:r>
      <w:r w:rsidR="0005169D">
        <w:rPr>
          <w:rFonts w:ascii="Arial" w:hAnsi="Arial" w:cs="Arial"/>
          <w:b/>
          <w:bCs/>
          <w:sz w:val="24"/>
        </w:rPr>
        <w:t>on PSCell</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6325A471" w:rsidR="001070D6" w:rsidRPr="00B43B65" w:rsidRDefault="00B91A33" w:rsidP="00CD4C7B">
      <w:pPr>
        <w:rPr>
          <w:sz w:val="22"/>
          <w:lang w:eastAsia="ko-KR"/>
        </w:rPr>
      </w:pPr>
      <w:r w:rsidRPr="00B43B65">
        <w:rPr>
          <w:sz w:val="22"/>
          <w:lang w:eastAsia="ko-KR"/>
        </w:rPr>
        <w:t>RAN#80 plenary approved a Work Item (WI) titled “</w:t>
      </w:r>
      <w:r w:rsidR="00461F90" w:rsidRPr="00B43B65">
        <w:rPr>
          <w:sz w:val="22"/>
          <w:lang w:eastAsia="ko-KR"/>
        </w:rPr>
        <w:t>NR mobility enhancements</w:t>
      </w:r>
      <w:r w:rsidRPr="00B43B65">
        <w:rPr>
          <w:sz w:val="22"/>
          <w:lang w:eastAsia="ko-KR"/>
        </w:rPr>
        <w:t>”</w:t>
      </w:r>
      <w:r w:rsidR="00197620" w:rsidRPr="00B43B65">
        <w:rPr>
          <w:sz w:val="22"/>
          <w:lang w:eastAsia="ko-KR"/>
        </w:rPr>
        <w:t xml:space="preserve"> to </w:t>
      </w:r>
      <w:r w:rsidR="008E4E9B" w:rsidRPr="00B43B65">
        <w:rPr>
          <w:sz w:val="22"/>
          <w:lang w:eastAsia="ko-KR"/>
        </w:rPr>
        <w:t xml:space="preserve">enhance the basic </w:t>
      </w:r>
      <w:r w:rsidR="00197620" w:rsidRPr="00B43B65">
        <w:rPr>
          <w:sz w:val="22"/>
          <w:lang w:eastAsia="ko-KR"/>
        </w:rPr>
        <w:t xml:space="preserve">mobility </w:t>
      </w:r>
      <w:r w:rsidR="008E4E9B" w:rsidRPr="00B43B65">
        <w:rPr>
          <w:sz w:val="22"/>
          <w:lang w:eastAsia="ko-KR"/>
        </w:rPr>
        <w:t xml:space="preserve">functions </w:t>
      </w:r>
      <w:r w:rsidR="00806BCC" w:rsidRPr="00B43B65">
        <w:rPr>
          <w:sz w:val="22"/>
          <w:lang w:eastAsia="ko-KR"/>
        </w:rPr>
        <w:t>available</w:t>
      </w:r>
      <w:r w:rsidR="008E4E9B" w:rsidRPr="00B43B65">
        <w:rPr>
          <w:sz w:val="22"/>
          <w:lang w:eastAsia="ko-KR"/>
        </w:rPr>
        <w:t xml:space="preserve"> in NR </w:t>
      </w:r>
      <w:r w:rsidR="00237FF5" w:rsidRPr="00B43B65">
        <w:rPr>
          <w:sz w:val="22"/>
          <w:lang w:eastAsia="ko-KR"/>
        </w:rPr>
        <w:t>R</w:t>
      </w:r>
      <w:r w:rsidR="008E4E9B" w:rsidRPr="00B43B65">
        <w:rPr>
          <w:sz w:val="22"/>
          <w:lang w:eastAsia="ko-KR"/>
        </w:rPr>
        <w:t>elease</w:t>
      </w:r>
      <w:r w:rsidR="00237FF5" w:rsidRPr="00B43B65">
        <w:rPr>
          <w:sz w:val="22"/>
          <w:lang w:eastAsia="ko-KR"/>
        </w:rPr>
        <w:t xml:space="preserve"> </w:t>
      </w:r>
      <w:r w:rsidR="008E4E9B" w:rsidRPr="00B43B65">
        <w:rPr>
          <w:sz w:val="22"/>
          <w:lang w:eastAsia="ko-KR"/>
        </w:rPr>
        <w:t>15</w:t>
      </w:r>
      <w:r w:rsidR="00806BCC" w:rsidRPr="00B43B65">
        <w:rPr>
          <w:sz w:val="22"/>
          <w:lang w:eastAsia="ko-KR"/>
        </w:rPr>
        <w:t>[1]</w:t>
      </w:r>
      <w:r w:rsidR="00197620" w:rsidRPr="00B43B65">
        <w:rPr>
          <w:sz w:val="22"/>
          <w:lang w:eastAsia="ko-KR"/>
        </w:rPr>
        <w:t xml:space="preserve">. </w:t>
      </w:r>
      <w:r w:rsidR="009B5D9A" w:rsidRPr="00B43B65">
        <w:rPr>
          <w:sz w:val="22"/>
          <w:lang w:eastAsia="ko-KR"/>
        </w:rPr>
        <w:t xml:space="preserve">The following </w:t>
      </w:r>
      <w:r w:rsidR="00FE1533" w:rsidRPr="00B43B65">
        <w:rPr>
          <w:sz w:val="22"/>
          <w:lang w:eastAsia="ko-KR"/>
        </w:rPr>
        <w:t>was agreed during RAN2 #107</w:t>
      </w:r>
      <w:r w:rsidR="007848D6">
        <w:rPr>
          <w:sz w:val="22"/>
          <w:lang w:eastAsia="ko-KR"/>
        </w:rPr>
        <w:t>bis</w:t>
      </w:r>
      <w:r w:rsidR="00FE1533" w:rsidRPr="00B43B65">
        <w:rPr>
          <w:sz w:val="22"/>
          <w:lang w:eastAsia="ko-KR"/>
        </w:rPr>
        <w:t xml:space="preserve"> meeting</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4A96ABC9" w14:textId="77777777" w:rsidR="000B5936" w:rsidRPr="000B5936" w:rsidRDefault="000B5936" w:rsidP="000B5936">
            <w:pPr>
              <w:rPr>
                <w:b/>
                <w:sz w:val="22"/>
                <w:lang w:eastAsia="ko-KR"/>
              </w:rPr>
            </w:pPr>
            <w:r w:rsidRPr="000B5936">
              <w:rPr>
                <w:b/>
                <w:sz w:val="22"/>
                <w:lang w:eastAsia="ko-KR"/>
              </w:rPr>
              <w:t>Agreements</w:t>
            </w:r>
          </w:p>
          <w:p w14:paraId="1149141E" w14:textId="77777777" w:rsidR="000B5936" w:rsidRPr="000B5936" w:rsidRDefault="000B5936" w:rsidP="000B5936">
            <w:pPr>
              <w:rPr>
                <w:sz w:val="22"/>
                <w:lang w:eastAsia="ko-KR"/>
              </w:rPr>
            </w:pPr>
            <w:r w:rsidRPr="000B5936">
              <w:rPr>
                <w:sz w:val="22"/>
                <w:lang w:eastAsia="ko-KR"/>
              </w:rPr>
              <w:t>1</w:t>
            </w:r>
            <w:r w:rsidRPr="000B5936">
              <w:rPr>
                <w:sz w:val="22"/>
                <w:lang w:eastAsia="ko-KR"/>
              </w:rPr>
              <w:tab/>
              <w:t>Reuse the LTE baseline for T312 functionality. Can discuss specific optimizations based on company contributions.</w:t>
            </w:r>
          </w:p>
          <w:p w14:paraId="3B956B10" w14:textId="77777777" w:rsidR="000B5936" w:rsidRPr="000B5936" w:rsidRDefault="000B5936" w:rsidP="000B5936">
            <w:pPr>
              <w:rPr>
                <w:b/>
                <w:sz w:val="22"/>
                <w:lang w:eastAsia="ko-KR"/>
              </w:rPr>
            </w:pPr>
            <w:r w:rsidRPr="000B5936">
              <w:rPr>
                <w:b/>
                <w:sz w:val="22"/>
                <w:lang w:eastAsia="ko-KR"/>
              </w:rPr>
              <w:t>Working assumption</w:t>
            </w:r>
          </w:p>
          <w:p w14:paraId="5590FD9B" w14:textId="6E390613" w:rsidR="00806BCC" w:rsidRPr="00B43B65" w:rsidRDefault="000B5936" w:rsidP="000B5936">
            <w:pPr>
              <w:rPr>
                <w:sz w:val="22"/>
                <w:lang w:eastAsia="ko-KR"/>
              </w:rPr>
            </w:pPr>
            <w:r w:rsidRPr="000B5936">
              <w:rPr>
                <w:sz w:val="22"/>
                <w:lang w:eastAsia="ko-KR"/>
              </w:rPr>
              <w:t>2</w:t>
            </w:r>
            <w:r w:rsidRPr="000B5936">
              <w:rPr>
                <w:sz w:val="22"/>
                <w:lang w:eastAsia="ko-KR"/>
              </w:rPr>
              <w:tab/>
              <w:t>Introduce T312 based mechanism on PSCell for fast declaration of SCG failure.</w:t>
            </w:r>
          </w:p>
        </w:tc>
      </w:tr>
    </w:tbl>
    <w:p w14:paraId="00750FA7" w14:textId="63B03D01" w:rsidR="00253724" w:rsidRDefault="000B5936" w:rsidP="00C1497E">
      <w:pPr>
        <w:rPr>
          <w:sz w:val="22"/>
          <w:lang w:eastAsia="ko-KR"/>
        </w:rPr>
      </w:pPr>
      <w:r w:rsidRPr="00E63E54">
        <w:rPr>
          <w:b/>
        </w:rPr>
        <w:t xml:space="preserve">=&gt; Proponents </w:t>
      </w:r>
      <w:r>
        <w:rPr>
          <w:b/>
        </w:rPr>
        <w:t xml:space="preserve">should </w:t>
      </w:r>
      <w:r w:rsidRPr="00E63E54">
        <w:rPr>
          <w:b/>
        </w:rPr>
        <w:t xml:space="preserve">provide CRs for PSCell T312 </w:t>
      </w:r>
      <w:r>
        <w:rPr>
          <w:b/>
        </w:rPr>
        <w:t xml:space="preserve">for </w:t>
      </w:r>
      <w:r w:rsidRPr="00E63E54">
        <w:rPr>
          <w:b/>
        </w:rPr>
        <w:t xml:space="preserve">next </w:t>
      </w:r>
      <w:r>
        <w:rPr>
          <w:b/>
        </w:rPr>
        <w:t>meeting</w:t>
      </w:r>
    </w:p>
    <w:p w14:paraId="0BBDFC0A" w14:textId="651450E3" w:rsidR="00CD4C7B" w:rsidRPr="00B43B65" w:rsidRDefault="00C639BE" w:rsidP="00C1497E">
      <w:pPr>
        <w:rPr>
          <w:sz w:val="22"/>
          <w:lang w:eastAsia="ko-KR"/>
        </w:rPr>
      </w:pPr>
      <w:r w:rsidRPr="00B43B65">
        <w:rPr>
          <w:sz w:val="22"/>
          <w:lang w:eastAsia="ko-KR"/>
        </w:rPr>
        <w:t xml:space="preserve">In this paper, we </w:t>
      </w:r>
      <w:r w:rsidR="00FE1533" w:rsidRPr="00B43B65">
        <w:rPr>
          <w:sz w:val="22"/>
          <w:lang w:eastAsia="ko-KR"/>
        </w:rPr>
        <w:t>address</w:t>
      </w:r>
      <w:r w:rsidR="00193E0C" w:rsidRPr="00B43B65">
        <w:rPr>
          <w:sz w:val="22"/>
          <w:lang w:eastAsia="ko-KR"/>
        </w:rPr>
        <w:t xml:space="preserve"> the</w:t>
      </w:r>
      <w:r w:rsidR="00FE1533" w:rsidRPr="00B43B65">
        <w:rPr>
          <w:sz w:val="22"/>
          <w:lang w:eastAsia="ko-KR"/>
        </w:rPr>
        <w:t xml:space="preserve"> implementation </w:t>
      </w:r>
      <w:r w:rsidR="00ED288D">
        <w:rPr>
          <w:sz w:val="22"/>
          <w:lang w:eastAsia="ko-KR"/>
        </w:rPr>
        <w:t>aspects related to</w:t>
      </w:r>
      <w:r w:rsidR="00FE1533" w:rsidRPr="00B43B65">
        <w:rPr>
          <w:sz w:val="22"/>
          <w:lang w:eastAsia="ko-KR"/>
        </w:rPr>
        <w:t xml:space="preserve"> timer</w:t>
      </w:r>
      <w:r w:rsidR="00193E0C" w:rsidRPr="00B43B65">
        <w:rPr>
          <w:sz w:val="22"/>
          <w:lang w:eastAsia="ko-KR"/>
        </w:rPr>
        <w:t xml:space="preserve"> </w:t>
      </w:r>
      <w:r w:rsidR="00FE1533" w:rsidRPr="00B43B65">
        <w:rPr>
          <w:sz w:val="22"/>
          <w:lang w:eastAsia="ko-KR"/>
        </w:rPr>
        <w:t>T312 on P</w:t>
      </w:r>
      <w:r w:rsidR="00ED288D">
        <w:rPr>
          <w:sz w:val="22"/>
          <w:lang w:eastAsia="ko-KR"/>
        </w:rPr>
        <w:t>S</w:t>
      </w:r>
      <w:r w:rsidR="00FE1533" w:rsidRPr="00B43B65">
        <w:rPr>
          <w:sz w:val="22"/>
          <w:lang w:eastAsia="ko-KR"/>
        </w:rPr>
        <w:t>Cell</w:t>
      </w:r>
      <w:r w:rsidR="00ED288D">
        <w:rPr>
          <w:sz w:val="22"/>
          <w:lang w:eastAsia="ko-KR"/>
        </w:rPr>
        <w:t xml:space="preserve">. </w:t>
      </w:r>
      <w:r w:rsidR="00D916EA" w:rsidRPr="00B43B65">
        <w:rPr>
          <w:sz w:val="22"/>
          <w:lang w:eastAsia="ko-KR"/>
        </w:rPr>
        <w:t xml:space="preserve">. </w:t>
      </w:r>
      <w:r w:rsidR="00FE1533" w:rsidRPr="00B43B65">
        <w:rPr>
          <w:sz w:val="22"/>
          <w:lang w:eastAsia="ko-KR"/>
        </w:rPr>
        <w:t xml:space="preserve"> </w:t>
      </w:r>
    </w:p>
    <w:p w14:paraId="288E09DA" w14:textId="7217D08D"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038D5C60" w14:textId="77777777" w:rsidR="00C36091" w:rsidRPr="00C36091" w:rsidRDefault="00327D0A" w:rsidP="00C36091">
      <w:r w:rsidRPr="00C36091">
        <w:rPr>
          <w:sz w:val="22"/>
          <w:lang w:eastAsia="ko-KR"/>
        </w:rPr>
        <w:t>During RAN #107</w:t>
      </w:r>
      <w:r w:rsidR="00CD2B84" w:rsidRPr="00C36091">
        <w:rPr>
          <w:sz w:val="22"/>
          <w:lang w:eastAsia="ko-KR"/>
        </w:rPr>
        <w:t>bis</w:t>
      </w:r>
      <w:r w:rsidRPr="00C36091">
        <w:rPr>
          <w:sz w:val="22"/>
          <w:lang w:eastAsia="ko-KR"/>
        </w:rPr>
        <w:t xml:space="preserve"> meeting, i</w:t>
      </w:r>
      <w:r w:rsidR="00360111" w:rsidRPr="00C36091">
        <w:rPr>
          <w:sz w:val="22"/>
          <w:lang w:eastAsia="ko-KR"/>
        </w:rPr>
        <w:t xml:space="preserve">t </w:t>
      </w:r>
      <w:r w:rsidR="00CD2B84" w:rsidRPr="00C36091">
        <w:rPr>
          <w:sz w:val="22"/>
          <w:lang w:eastAsia="ko-KR"/>
        </w:rPr>
        <w:t xml:space="preserve">is </w:t>
      </w:r>
      <w:r w:rsidR="00360111" w:rsidRPr="00C36091">
        <w:rPr>
          <w:sz w:val="22"/>
          <w:lang w:eastAsia="ko-KR"/>
        </w:rPr>
        <w:t xml:space="preserve">agreed that NR will support T312 </w:t>
      </w:r>
      <w:r w:rsidR="00CD2B84" w:rsidRPr="00C36091">
        <w:rPr>
          <w:sz w:val="22"/>
          <w:lang w:eastAsia="ko-KR"/>
        </w:rPr>
        <w:t>functionality</w:t>
      </w:r>
      <w:r w:rsidR="00360111" w:rsidRPr="00C36091">
        <w:rPr>
          <w:sz w:val="22"/>
          <w:lang w:eastAsia="ko-KR"/>
        </w:rPr>
        <w:t xml:space="preserve"> </w:t>
      </w:r>
      <w:r w:rsidR="00CD2B84" w:rsidRPr="00C36091">
        <w:rPr>
          <w:sz w:val="22"/>
          <w:lang w:eastAsia="ko-KR"/>
        </w:rPr>
        <w:t xml:space="preserve">based on LTE baseline </w:t>
      </w:r>
      <w:r w:rsidR="00360111" w:rsidRPr="00C36091">
        <w:rPr>
          <w:sz w:val="22"/>
          <w:lang w:eastAsia="ko-KR"/>
        </w:rPr>
        <w:t>as a fast handover recovery mechanism.</w:t>
      </w:r>
      <w:r w:rsidR="001E241E" w:rsidRPr="00C36091">
        <w:rPr>
          <w:sz w:val="22"/>
          <w:lang w:eastAsia="ko-KR"/>
        </w:rPr>
        <w:t xml:space="preserve"> A working assumption </w:t>
      </w:r>
      <w:r w:rsidR="00CD2B84" w:rsidRPr="00C36091">
        <w:rPr>
          <w:sz w:val="22"/>
          <w:lang w:eastAsia="ko-KR"/>
        </w:rPr>
        <w:t>is</w:t>
      </w:r>
      <w:r w:rsidR="001E241E" w:rsidRPr="00C36091">
        <w:rPr>
          <w:sz w:val="22"/>
          <w:lang w:eastAsia="ko-KR"/>
        </w:rPr>
        <w:t xml:space="preserve"> made to introduce T312 based mechanism on PSCell for fast declaration of SCG failure. </w:t>
      </w:r>
      <w:r w:rsidR="00C36091" w:rsidRPr="00C36091">
        <w:rPr>
          <w:sz w:val="22"/>
          <w:lang w:eastAsia="ko-KR"/>
        </w:rPr>
        <w:t xml:space="preserve">During the online discussion ar RAN2#107bis, there were 2 views expressed on applicability of timer T312: </w:t>
      </w:r>
    </w:p>
    <w:p w14:paraId="2ED039F3" w14:textId="27A289B2" w:rsidR="00C36091" w:rsidRPr="00AA65FF" w:rsidRDefault="003B5AFD" w:rsidP="00C36091">
      <w:pPr>
        <w:pStyle w:val="ListParagraph"/>
        <w:numPr>
          <w:ilvl w:val="0"/>
          <w:numId w:val="13"/>
        </w:numPr>
        <w:rPr>
          <w:sz w:val="22"/>
        </w:rPr>
      </w:pPr>
      <w:r>
        <w:rPr>
          <w:sz w:val="22"/>
        </w:rPr>
        <w:t xml:space="preserve">ALT 1: </w:t>
      </w:r>
      <w:r w:rsidR="00C36091" w:rsidRPr="00AA65FF">
        <w:rPr>
          <w:sz w:val="22"/>
        </w:rPr>
        <w:t>T312 can be configured on PSCell only when SRB3 is configured</w:t>
      </w:r>
    </w:p>
    <w:p w14:paraId="419F143A" w14:textId="36402238" w:rsidR="00327D0A" w:rsidRPr="00AA65FF" w:rsidRDefault="003B5AFD" w:rsidP="00C36091">
      <w:pPr>
        <w:pStyle w:val="ListParagraph"/>
        <w:numPr>
          <w:ilvl w:val="0"/>
          <w:numId w:val="13"/>
        </w:numPr>
        <w:rPr>
          <w:sz w:val="22"/>
        </w:rPr>
      </w:pPr>
      <w:r>
        <w:rPr>
          <w:sz w:val="22"/>
        </w:rPr>
        <w:t xml:space="preserve">ALT 2: </w:t>
      </w:r>
      <w:r w:rsidR="00C36091" w:rsidRPr="00AA65FF">
        <w:rPr>
          <w:sz w:val="22"/>
        </w:rPr>
        <w:t>T312 can be configured on PSCell in all cases</w:t>
      </w:r>
      <w:r w:rsidR="00301261" w:rsidRPr="00AA65FF">
        <w:rPr>
          <w:sz w:val="22"/>
        </w:rPr>
        <w:t xml:space="preserve"> (With or without SRB3)</w:t>
      </w:r>
    </w:p>
    <w:p w14:paraId="52BEB494" w14:textId="6789DE41" w:rsidR="00DC7746" w:rsidRPr="00DC7746" w:rsidRDefault="00DC7746" w:rsidP="00301261">
      <w:pPr>
        <w:rPr>
          <w:b/>
          <w:sz w:val="28"/>
        </w:rPr>
      </w:pPr>
      <w:r>
        <w:rPr>
          <w:b/>
          <w:sz w:val="28"/>
        </w:rPr>
        <w:t>2. 1</w:t>
      </w:r>
      <w:r>
        <w:rPr>
          <w:b/>
          <w:sz w:val="28"/>
        </w:rPr>
        <w:tab/>
      </w:r>
      <w:r>
        <w:rPr>
          <w:b/>
          <w:sz w:val="28"/>
        </w:rPr>
        <w:tab/>
      </w:r>
      <w:r w:rsidR="003B5AFD">
        <w:rPr>
          <w:b/>
          <w:sz w:val="28"/>
        </w:rPr>
        <w:t xml:space="preserve">ALT 1: </w:t>
      </w:r>
      <w:r w:rsidRPr="00DC7746">
        <w:rPr>
          <w:b/>
          <w:sz w:val="28"/>
        </w:rPr>
        <w:t>T312 configured only if SRB3 is available:</w:t>
      </w:r>
    </w:p>
    <w:p w14:paraId="3B2C74FC" w14:textId="0DE1B4E6" w:rsidR="00301261" w:rsidRDefault="00892C44" w:rsidP="00301261">
      <w:pPr>
        <w:rPr>
          <w:sz w:val="22"/>
          <w:lang w:eastAsia="ko-KR"/>
        </w:rPr>
      </w:pPr>
      <w:r w:rsidRPr="00AA65FF">
        <w:rPr>
          <w:sz w:val="22"/>
          <w:lang w:eastAsia="ko-KR"/>
        </w:rPr>
        <w:t>If a UE is in dual connectivity and SRB3 is configured</w:t>
      </w:r>
      <w:r>
        <w:t xml:space="preserve"> to the </w:t>
      </w:r>
      <w:r>
        <w:rPr>
          <w:sz w:val="22"/>
          <w:lang w:eastAsia="ko-KR"/>
        </w:rPr>
        <w:t>UE, the SN provided measurement configuration</w:t>
      </w:r>
      <w:r w:rsidR="00AA65FF">
        <w:rPr>
          <w:sz w:val="22"/>
          <w:lang w:eastAsia="ko-KR"/>
        </w:rPr>
        <w:t>s</w:t>
      </w:r>
      <w:r>
        <w:rPr>
          <w:sz w:val="22"/>
          <w:lang w:eastAsia="ko-KR"/>
        </w:rPr>
        <w:t xml:space="preserve"> (and other RRC messages) are delivered to </w:t>
      </w:r>
      <w:r w:rsidR="00AA65FF">
        <w:rPr>
          <w:sz w:val="22"/>
          <w:lang w:eastAsia="ko-KR"/>
        </w:rPr>
        <w:t>UE</w:t>
      </w:r>
      <w:r>
        <w:rPr>
          <w:sz w:val="22"/>
          <w:lang w:eastAsia="ko-KR"/>
        </w:rPr>
        <w:t xml:space="preserve"> via SRB3. RRC uplink messages including measurement report for a measurement id that is configured over SRB3</w:t>
      </w:r>
      <w:r w:rsidR="00E626A1">
        <w:rPr>
          <w:sz w:val="22"/>
          <w:lang w:eastAsia="ko-KR"/>
        </w:rPr>
        <w:t>,</w:t>
      </w:r>
      <w:r>
        <w:rPr>
          <w:sz w:val="22"/>
          <w:lang w:eastAsia="ko-KR"/>
        </w:rPr>
        <w:t xml:space="preserve"> is reported to the PSCell via SRB3. When the signal conditions of PSCell is weak, there is high probability that any triggered measurement reports may not be received successfully by SN, especially if UE is in OUT_OF_SYNC state i.e., T310 is running for PSCell at UE side. If the measurement report is not received by the SN due to weak channel, the UE will eventually declare PSCell RLF due to T310 expiry and initiate transmission of SCG failure information to the network</w:t>
      </w:r>
      <w:r w:rsidR="00E626A1">
        <w:rPr>
          <w:sz w:val="22"/>
          <w:lang w:eastAsia="ko-KR"/>
        </w:rPr>
        <w:t>,</w:t>
      </w:r>
      <w:r>
        <w:rPr>
          <w:sz w:val="22"/>
          <w:lang w:eastAsia="ko-KR"/>
        </w:rPr>
        <w:t xml:space="preserve"> thereby informing the network of the RLF on PSCell. Under such cases, when SRB3 is configured it is beneficial to have early declaration of RLF to</w:t>
      </w:r>
      <w:r w:rsidR="001B4D7B">
        <w:rPr>
          <w:sz w:val="22"/>
          <w:lang w:eastAsia="ko-KR"/>
        </w:rPr>
        <w:t xml:space="preserve"> facilitate early transmission of SCG failure information to the network based on T312 timer. </w:t>
      </w:r>
    </w:p>
    <w:p w14:paraId="3BCFDEE5" w14:textId="6AE5B1A9" w:rsidR="00A06FA7" w:rsidRPr="00033E27" w:rsidRDefault="00033E27" w:rsidP="00301261">
      <w:pPr>
        <w:rPr>
          <w:b/>
          <w:sz w:val="22"/>
          <w:lang w:eastAsia="ko-KR"/>
        </w:rPr>
      </w:pPr>
      <w:r w:rsidRPr="00033E27">
        <w:rPr>
          <w:b/>
          <w:sz w:val="22"/>
          <w:lang w:eastAsia="ko-KR"/>
        </w:rPr>
        <w:t xml:space="preserve">Observation 1: T312 based functionality is beneficial on PSCell when SCG measurements are configured over SRB3. </w:t>
      </w:r>
    </w:p>
    <w:p w14:paraId="3932FC8E" w14:textId="62B94821" w:rsidR="00A06FA7" w:rsidRPr="00A06FA7" w:rsidRDefault="00A06FA7" w:rsidP="00301261">
      <w:pPr>
        <w:rPr>
          <w:b/>
          <w:sz w:val="28"/>
        </w:rPr>
      </w:pPr>
      <w:r w:rsidRPr="00A06FA7">
        <w:rPr>
          <w:b/>
          <w:sz w:val="28"/>
        </w:rPr>
        <w:lastRenderedPageBreak/>
        <w:t xml:space="preserve">2.2 </w:t>
      </w:r>
      <w:r>
        <w:rPr>
          <w:b/>
          <w:sz w:val="28"/>
        </w:rPr>
        <w:tab/>
      </w:r>
      <w:r>
        <w:rPr>
          <w:b/>
          <w:sz w:val="28"/>
        </w:rPr>
        <w:tab/>
      </w:r>
      <w:r w:rsidR="003B5AFD">
        <w:rPr>
          <w:b/>
          <w:sz w:val="28"/>
        </w:rPr>
        <w:t xml:space="preserve">ALT 2: </w:t>
      </w:r>
      <w:r w:rsidRPr="00A06FA7">
        <w:rPr>
          <w:b/>
          <w:sz w:val="28"/>
        </w:rPr>
        <w:t>T312 configured irrespective of SRB3 availability</w:t>
      </w:r>
    </w:p>
    <w:p w14:paraId="64E881D9" w14:textId="32D1BB41" w:rsidR="00892C44" w:rsidRDefault="004950FB" w:rsidP="00892C44">
      <w:pPr>
        <w:rPr>
          <w:sz w:val="22"/>
          <w:lang w:eastAsia="ko-KR"/>
        </w:rPr>
      </w:pPr>
      <w:r>
        <w:rPr>
          <w:sz w:val="22"/>
          <w:lang w:eastAsia="ko-KR"/>
        </w:rPr>
        <w:t>As already seen earlier, T312 based functionality is beneficial on PSCell when SCG measurements are configured over SRB3. However, i</w:t>
      </w:r>
      <w:r w:rsidR="00892C44">
        <w:rPr>
          <w:sz w:val="22"/>
          <w:lang w:eastAsia="ko-KR"/>
        </w:rPr>
        <w:t xml:space="preserve">f a UE is </w:t>
      </w:r>
      <w:r w:rsidR="007B7937">
        <w:rPr>
          <w:sz w:val="22"/>
          <w:lang w:eastAsia="ko-KR"/>
        </w:rPr>
        <w:t>in dual connectivity and SRB3 is not available, the SN provided measurement configurations (and other RRC messages) are delivered to UE via SRB1. RRC uplink messages including measurement report for an SN configured measurement id that is configured over SRB</w:t>
      </w:r>
      <w:r w:rsidR="00971DC5">
        <w:rPr>
          <w:sz w:val="22"/>
          <w:lang w:eastAsia="ko-KR"/>
        </w:rPr>
        <w:t>1</w:t>
      </w:r>
      <w:r w:rsidR="007B7937">
        <w:rPr>
          <w:sz w:val="22"/>
          <w:lang w:eastAsia="ko-KR"/>
        </w:rPr>
        <w:t>, is reported to the PSCell via SRB1 i.e.</w:t>
      </w:r>
      <w:r w:rsidR="00892C44">
        <w:rPr>
          <w:sz w:val="22"/>
          <w:lang w:eastAsia="ko-KR"/>
        </w:rPr>
        <w:t xml:space="preserve"> measurement reports that are triggered for SCG measurement configurations are sent to the network via MCG. Therefore, </w:t>
      </w:r>
      <w:r w:rsidR="0040178C">
        <w:rPr>
          <w:sz w:val="22"/>
          <w:lang w:eastAsia="ko-KR"/>
        </w:rPr>
        <w:t>it may be</w:t>
      </w:r>
      <w:r>
        <w:rPr>
          <w:sz w:val="22"/>
          <w:lang w:eastAsia="ko-KR"/>
        </w:rPr>
        <w:t xml:space="preserve"> possible that the SCG </w:t>
      </w:r>
      <w:r w:rsidR="00892C44">
        <w:rPr>
          <w:sz w:val="22"/>
          <w:lang w:eastAsia="ko-KR"/>
        </w:rPr>
        <w:t>is aware of the PSCell signal conditions</w:t>
      </w:r>
      <w:r>
        <w:rPr>
          <w:sz w:val="22"/>
          <w:lang w:eastAsia="ko-KR"/>
        </w:rPr>
        <w:t xml:space="preserve"> (via measurements received via MCG)</w:t>
      </w:r>
      <w:r w:rsidR="00892C44">
        <w:rPr>
          <w:sz w:val="22"/>
          <w:lang w:eastAsia="ko-KR"/>
        </w:rPr>
        <w:t xml:space="preserve"> and </w:t>
      </w:r>
      <w:r w:rsidR="0040178C">
        <w:rPr>
          <w:sz w:val="22"/>
          <w:lang w:eastAsia="ko-KR"/>
        </w:rPr>
        <w:t xml:space="preserve">can </w:t>
      </w:r>
      <w:r w:rsidR="00892C44">
        <w:rPr>
          <w:sz w:val="22"/>
          <w:lang w:eastAsia="ko-KR"/>
        </w:rPr>
        <w:t xml:space="preserve">initiate SCG change procedure as required. </w:t>
      </w:r>
      <w:r>
        <w:rPr>
          <w:sz w:val="22"/>
          <w:lang w:eastAsia="ko-KR"/>
        </w:rPr>
        <w:t xml:space="preserve">However, in some cases e.g. inter-SN SCG change, it may be more efficient that MN initiates the SCG change procedure. </w:t>
      </w:r>
      <w:r w:rsidR="002E6106">
        <w:rPr>
          <w:sz w:val="22"/>
          <w:lang w:eastAsia="ko-KR"/>
        </w:rPr>
        <w:t xml:space="preserve">Therefore, sending SCG failure information to the PCell may help is performing the required SCG change more efficiently thereby having lesser impact to the user services. </w:t>
      </w:r>
    </w:p>
    <w:p w14:paraId="47712268" w14:textId="1A4FBAF9" w:rsidR="00E45C9C" w:rsidRPr="00E45C9C" w:rsidRDefault="00E45C9C" w:rsidP="00892C44">
      <w:pPr>
        <w:rPr>
          <w:b/>
          <w:sz w:val="22"/>
          <w:lang w:eastAsia="ko-KR"/>
        </w:rPr>
      </w:pPr>
      <w:r w:rsidRPr="00E45C9C">
        <w:rPr>
          <w:b/>
          <w:sz w:val="22"/>
          <w:lang w:eastAsia="ko-KR"/>
        </w:rPr>
        <w:t xml:space="preserve">Observation 2: T312 based functionality is beneficial on PSCell when SCG measurements are configured over SRB1. </w:t>
      </w:r>
    </w:p>
    <w:p w14:paraId="4DB7ACD9" w14:textId="71FC1F86" w:rsidR="005F367F" w:rsidRDefault="007233F7" w:rsidP="00301261">
      <w:pPr>
        <w:rPr>
          <w:sz w:val="22"/>
          <w:lang w:eastAsia="ko-KR"/>
        </w:rPr>
      </w:pPr>
      <w:r w:rsidRPr="00E75D9F">
        <w:rPr>
          <w:sz w:val="22"/>
          <w:lang w:eastAsia="ko-KR"/>
        </w:rPr>
        <w:t xml:space="preserve">It </w:t>
      </w:r>
      <w:r w:rsidR="003B5AFD" w:rsidRPr="00E75D9F">
        <w:rPr>
          <w:sz w:val="22"/>
          <w:lang w:eastAsia="ko-KR"/>
        </w:rPr>
        <w:t>has</w:t>
      </w:r>
      <w:r w:rsidRPr="00E75D9F">
        <w:rPr>
          <w:sz w:val="22"/>
          <w:lang w:eastAsia="ko-KR"/>
        </w:rPr>
        <w:t xml:space="preserve"> been agreed that LTE functionality will be baseline for T312 on NR PCell, and the same can be assumed for NR PSCell as well. Therefore, the use of T312 is based on a per report configuration event basis. </w:t>
      </w:r>
      <w:r w:rsidR="00BE19C7" w:rsidRPr="00E75D9F">
        <w:rPr>
          <w:sz w:val="22"/>
          <w:lang w:eastAsia="ko-KR"/>
        </w:rPr>
        <w:t xml:space="preserve">This means that network has the freedom and choice to have certain reporting configurations with useT312 while having other reporting configurations without T312. </w:t>
      </w:r>
      <w:r w:rsidR="00976817">
        <w:rPr>
          <w:sz w:val="22"/>
          <w:lang w:eastAsia="ko-KR"/>
        </w:rPr>
        <w:t xml:space="preserve">This means that the signalling already allows a provision to limit the use of T312 for report configurations provided over SRB1 or SRB3. </w:t>
      </w:r>
      <w:r w:rsidR="00457665">
        <w:rPr>
          <w:sz w:val="22"/>
          <w:lang w:eastAsia="ko-KR"/>
        </w:rPr>
        <w:t xml:space="preserve">Specification changes for ALT 2 are simple and a representative CR is provided in [2]. For ALT 1, the use of T312 needs to be handled a bit differently and a representative CR is provided in [3]. </w:t>
      </w:r>
      <w:r w:rsidR="005F367F">
        <w:rPr>
          <w:sz w:val="22"/>
          <w:lang w:eastAsia="ko-KR"/>
        </w:rPr>
        <w:t xml:space="preserve">Considering the simplicity and application flexibility, ALT </w:t>
      </w:r>
      <w:r w:rsidR="00267B9F">
        <w:rPr>
          <w:sz w:val="22"/>
          <w:lang w:eastAsia="ko-KR"/>
        </w:rPr>
        <w:t>2</w:t>
      </w:r>
      <w:r w:rsidR="005F367F">
        <w:rPr>
          <w:sz w:val="22"/>
          <w:lang w:eastAsia="ko-KR"/>
        </w:rPr>
        <w:t xml:space="preserve"> appears to be the better approach. </w:t>
      </w:r>
    </w:p>
    <w:p w14:paraId="28B83183" w14:textId="2A7C3A06" w:rsidR="001924F8" w:rsidRDefault="001924F8" w:rsidP="00301261">
      <w:pPr>
        <w:rPr>
          <w:b/>
          <w:sz w:val="22"/>
          <w:lang w:eastAsia="ko-KR"/>
        </w:rPr>
      </w:pPr>
      <w:r>
        <w:rPr>
          <w:b/>
          <w:sz w:val="22"/>
          <w:lang w:eastAsia="ko-KR"/>
        </w:rPr>
        <w:t xml:space="preserve">Proposal 1: Confirm the working assumption to </w:t>
      </w:r>
      <w:r w:rsidRPr="001924F8">
        <w:rPr>
          <w:b/>
          <w:sz w:val="22"/>
          <w:lang w:eastAsia="ko-KR"/>
        </w:rPr>
        <w:t>Introduce T312 based mechanism on PSCell for fast declaration of SCG failure</w:t>
      </w:r>
      <w:r>
        <w:rPr>
          <w:b/>
          <w:sz w:val="22"/>
          <w:lang w:eastAsia="ko-KR"/>
        </w:rPr>
        <w:t xml:space="preserve"> </w:t>
      </w:r>
    </w:p>
    <w:p w14:paraId="085B2379" w14:textId="1017356D" w:rsidR="00D57C60" w:rsidRPr="005F367F" w:rsidRDefault="001924F8" w:rsidP="00301261">
      <w:pPr>
        <w:rPr>
          <w:b/>
          <w:sz w:val="22"/>
          <w:lang w:eastAsia="ko-KR"/>
        </w:rPr>
      </w:pPr>
      <w:r>
        <w:rPr>
          <w:b/>
          <w:sz w:val="22"/>
          <w:lang w:eastAsia="ko-KR"/>
        </w:rPr>
        <w:t>Proposal 2</w:t>
      </w:r>
      <w:r w:rsidR="005F367F" w:rsidRPr="005F367F">
        <w:rPr>
          <w:b/>
          <w:sz w:val="22"/>
          <w:lang w:eastAsia="ko-KR"/>
        </w:rPr>
        <w:t xml:space="preserve">: T312 on </w:t>
      </w:r>
      <w:r>
        <w:rPr>
          <w:b/>
          <w:sz w:val="22"/>
          <w:lang w:eastAsia="ko-KR"/>
        </w:rPr>
        <w:t>PSCell can be configured for SCG</w:t>
      </w:r>
      <w:r w:rsidR="005F367F" w:rsidRPr="005F367F">
        <w:rPr>
          <w:b/>
          <w:sz w:val="22"/>
          <w:lang w:eastAsia="ko-KR"/>
        </w:rPr>
        <w:t xml:space="preserve"> measurement configurations provided over SRB3 or SRB1.  </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7FC7E8E" w:rsidR="00B43B65" w:rsidRPr="00B43B65" w:rsidRDefault="00A76041" w:rsidP="00ED602D">
      <w:pPr>
        <w:rPr>
          <w:sz w:val="22"/>
          <w:lang w:eastAsia="ko-KR"/>
        </w:rPr>
      </w:pPr>
      <w:r>
        <w:rPr>
          <w:sz w:val="22"/>
          <w:lang w:eastAsia="ko-KR"/>
        </w:rPr>
        <w:t xml:space="preserve">The contribution discusses the remaining aspects related to use of T312 in NR. Several aspects are discussed and the following observations and proposals are made. </w:t>
      </w:r>
    </w:p>
    <w:p w14:paraId="66D2A8E5" w14:textId="336FE3B4" w:rsidR="00ED602D" w:rsidRDefault="005F367F" w:rsidP="00253724">
      <w:pPr>
        <w:rPr>
          <w:b/>
          <w:sz w:val="22"/>
          <w:lang w:eastAsia="ko-KR"/>
        </w:rPr>
      </w:pPr>
      <w:r w:rsidRPr="00033E27">
        <w:rPr>
          <w:b/>
          <w:sz w:val="22"/>
          <w:lang w:eastAsia="ko-KR"/>
        </w:rPr>
        <w:t>Observation 1: T312 based functionality is beneficial on PSCell when SCG measurements are configured over SRB3.</w:t>
      </w:r>
    </w:p>
    <w:p w14:paraId="7E7F7A9F" w14:textId="77777777" w:rsidR="005F367F" w:rsidRPr="00E45C9C" w:rsidRDefault="005F367F" w:rsidP="005F367F">
      <w:pPr>
        <w:rPr>
          <w:b/>
          <w:sz w:val="22"/>
          <w:lang w:eastAsia="ko-KR"/>
        </w:rPr>
      </w:pPr>
      <w:r w:rsidRPr="00E45C9C">
        <w:rPr>
          <w:b/>
          <w:sz w:val="22"/>
          <w:lang w:eastAsia="ko-KR"/>
        </w:rPr>
        <w:t xml:space="preserve">Observation 2: T312 based functionality is beneficial on PSCell when SCG measurements are configured over SRB1. </w:t>
      </w:r>
    </w:p>
    <w:p w14:paraId="6508D3C2" w14:textId="77777777" w:rsidR="001924F8" w:rsidRDefault="001924F8" w:rsidP="001924F8">
      <w:pPr>
        <w:rPr>
          <w:b/>
          <w:sz w:val="22"/>
          <w:lang w:eastAsia="ko-KR"/>
        </w:rPr>
      </w:pPr>
      <w:r>
        <w:rPr>
          <w:b/>
          <w:sz w:val="22"/>
          <w:lang w:eastAsia="ko-KR"/>
        </w:rPr>
        <w:t xml:space="preserve">Proposal 1: Confirm the working assumption to </w:t>
      </w:r>
      <w:r w:rsidRPr="001924F8">
        <w:rPr>
          <w:b/>
          <w:sz w:val="22"/>
          <w:lang w:eastAsia="ko-KR"/>
        </w:rPr>
        <w:t>Introduce T312 based mechanism on PSCell for fast declaration of SCG failure</w:t>
      </w:r>
      <w:r>
        <w:rPr>
          <w:b/>
          <w:sz w:val="22"/>
          <w:lang w:eastAsia="ko-KR"/>
        </w:rPr>
        <w:t xml:space="preserve"> </w:t>
      </w:r>
    </w:p>
    <w:p w14:paraId="1EB0A24E" w14:textId="77777777" w:rsidR="001924F8" w:rsidRPr="005F367F" w:rsidRDefault="001924F8" w:rsidP="001924F8">
      <w:pPr>
        <w:rPr>
          <w:b/>
          <w:sz w:val="22"/>
          <w:lang w:eastAsia="ko-KR"/>
        </w:rPr>
      </w:pPr>
      <w:r>
        <w:rPr>
          <w:b/>
          <w:sz w:val="22"/>
          <w:lang w:eastAsia="ko-KR"/>
        </w:rPr>
        <w:t>Proposal 2</w:t>
      </w:r>
      <w:r w:rsidRPr="005F367F">
        <w:rPr>
          <w:b/>
          <w:sz w:val="22"/>
          <w:lang w:eastAsia="ko-KR"/>
        </w:rPr>
        <w:t xml:space="preserve">: T312 on </w:t>
      </w:r>
      <w:r>
        <w:rPr>
          <w:b/>
          <w:sz w:val="22"/>
          <w:lang w:eastAsia="ko-KR"/>
        </w:rPr>
        <w:t>PSCell can be configured for SCG</w:t>
      </w:r>
      <w:r w:rsidRPr="005F367F">
        <w:rPr>
          <w:b/>
          <w:sz w:val="22"/>
          <w:lang w:eastAsia="ko-KR"/>
        </w:rPr>
        <w:t xml:space="preserve"> measurement configurations provided over SRB3 or SRB1.  </w:t>
      </w: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3D7C67EC" w:rsidR="000C7A74" w:rsidRPr="00B43B65" w:rsidRDefault="00B43B65" w:rsidP="00B43B65">
      <w:pPr>
        <w:numPr>
          <w:ilvl w:val="0"/>
          <w:numId w:val="4"/>
        </w:numPr>
        <w:overflowPunct w:val="0"/>
        <w:autoSpaceDE w:val="0"/>
        <w:autoSpaceDN w:val="0"/>
        <w:adjustRightInd w:val="0"/>
        <w:jc w:val="both"/>
        <w:textAlignment w:val="baseline"/>
        <w:rPr>
          <w:rFonts w:ascii="Arial" w:hAnsi="Arial" w:cs="Arial"/>
        </w:rPr>
      </w:pPr>
      <w:r w:rsidRPr="00B43B65">
        <w:rPr>
          <w:rFonts w:ascii="Arial" w:eastAsia="Malgun Gothic" w:hAnsi="Arial" w:cs="Arial"/>
          <w:lang w:eastAsia="ko-KR"/>
        </w:rPr>
        <w:t>R2</w:t>
      </w:r>
      <w:r w:rsidRPr="00B43B65">
        <w:rPr>
          <w:rFonts w:ascii="Arial" w:hAnsi="Arial" w:cs="Arial"/>
        </w:rPr>
        <w:t>-19</w:t>
      </w:r>
      <w:r w:rsidR="00382E50">
        <w:rPr>
          <w:rFonts w:ascii="Arial" w:hAnsi="Arial" w:cs="Arial"/>
        </w:rPr>
        <w:t xml:space="preserve">1xxxx </w:t>
      </w:r>
      <w:r w:rsidRPr="00B43B65">
        <w:rPr>
          <w:rFonts w:ascii="Arial" w:hAnsi="Arial" w:cs="Arial"/>
        </w:rPr>
        <w:tab/>
      </w:r>
      <w:r w:rsidR="00382E50" w:rsidRPr="00382E50">
        <w:rPr>
          <w:rFonts w:ascii="Arial" w:hAnsi="Arial" w:cs="Arial"/>
        </w:rPr>
        <w:t>Introduction of early RLF declaration or fast handover failure recovery for PCell and PSCell in NR</w:t>
      </w:r>
      <w:r w:rsidRPr="00B43B65">
        <w:rPr>
          <w:rFonts w:ascii="Arial" w:hAnsi="Arial" w:cs="Arial"/>
        </w:rPr>
        <w:tab/>
      </w:r>
      <w:r w:rsidR="00382E50">
        <w:rPr>
          <w:rFonts w:ascii="Arial" w:hAnsi="Arial" w:cs="Arial"/>
        </w:rPr>
        <w:t xml:space="preserve">Samsung </w:t>
      </w:r>
      <w:r w:rsidRPr="00B43B65">
        <w:rPr>
          <w:rFonts w:ascii="Arial" w:hAnsi="Arial" w:cs="Arial"/>
        </w:rPr>
        <w:tab/>
      </w:r>
      <w:r w:rsidR="00382E50">
        <w:rPr>
          <w:rFonts w:ascii="Arial" w:hAnsi="Arial" w:cs="Arial"/>
        </w:rPr>
        <w:t>draft CR</w:t>
      </w:r>
      <w:r w:rsidR="00D1188D">
        <w:rPr>
          <w:rFonts w:ascii="Arial" w:hAnsi="Arial" w:cs="Arial"/>
        </w:rPr>
        <w:tab/>
        <w:t>Rel-16</w:t>
      </w:r>
      <w:r w:rsidR="00D1188D">
        <w:rPr>
          <w:rFonts w:ascii="Arial" w:hAnsi="Arial" w:cs="Arial"/>
        </w:rPr>
        <w:tab/>
        <w:t>NR_Mob_enh-Core</w:t>
      </w:r>
    </w:p>
    <w:p w14:paraId="49BCAD1F" w14:textId="36E6EEF5" w:rsidR="00B43B65" w:rsidRPr="00382E50" w:rsidRDefault="00382E50" w:rsidP="00382E50">
      <w:pPr>
        <w:numPr>
          <w:ilvl w:val="0"/>
          <w:numId w:val="4"/>
        </w:numPr>
        <w:overflowPunct w:val="0"/>
        <w:autoSpaceDE w:val="0"/>
        <w:autoSpaceDN w:val="0"/>
        <w:adjustRightInd w:val="0"/>
        <w:jc w:val="both"/>
        <w:textAlignment w:val="baseline"/>
        <w:rPr>
          <w:rFonts w:ascii="Arial" w:hAnsi="Arial" w:cs="Arial"/>
        </w:rPr>
      </w:pPr>
      <w:r w:rsidRPr="00B43B65">
        <w:rPr>
          <w:rFonts w:ascii="Arial" w:eastAsia="Malgun Gothic" w:hAnsi="Arial" w:cs="Arial"/>
          <w:lang w:eastAsia="ko-KR"/>
        </w:rPr>
        <w:t>R2</w:t>
      </w:r>
      <w:r w:rsidRPr="00B43B65">
        <w:rPr>
          <w:rFonts w:ascii="Arial" w:hAnsi="Arial" w:cs="Arial"/>
        </w:rPr>
        <w:t>-19</w:t>
      </w:r>
      <w:r>
        <w:rPr>
          <w:rFonts w:ascii="Arial" w:hAnsi="Arial" w:cs="Arial"/>
        </w:rPr>
        <w:t xml:space="preserve">1xxxx </w:t>
      </w:r>
      <w:r w:rsidRPr="00B43B65">
        <w:rPr>
          <w:rFonts w:ascii="Arial" w:hAnsi="Arial" w:cs="Arial"/>
        </w:rPr>
        <w:tab/>
      </w:r>
      <w:r w:rsidRPr="00382E50">
        <w:rPr>
          <w:rFonts w:ascii="Arial" w:hAnsi="Arial" w:cs="Arial"/>
        </w:rPr>
        <w:t>Introduction of early RLF declaration or fast handover failure recovery for PCell and PSCell</w:t>
      </w:r>
      <w:r>
        <w:rPr>
          <w:rFonts w:ascii="Arial" w:hAnsi="Arial" w:cs="Arial"/>
        </w:rPr>
        <w:t xml:space="preserve"> (based on SRB3 presence)</w:t>
      </w:r>
      <w:r w:rsidRPr="00382E50">
        <w:rPr>
          <w:rFonts w:ascii="Arial" w:hAnsi="Arial" w:cs="Arial"/>
        </w:rPr>
        <w:t xml:space="preserve"> in NR</w:t>
      </w:r>
      <w:r w:rsidRPr="00B43B65">
        <w:rPr>
          <w:rFonts w:ascii="Arial" w:hAnsi="Arial" w:cs="Arial"/>
        </w:rPr>
        <w:tab/>
      </w:r>
      <w:r>
        <w:rPr>
          <w:rFonts w:ascii="Arial" w:hAnsi="Arial" w:cs="Arial"/>
        </w:rPr>
        <w:t xml:space="preserve">Samsung </w:t>
      </w:r>
      <w:r w:rsidRPr="00B43B65">
        <w:rPr>
          <w:rFonts w:ascii="Arial" w:hAnsi="Arial" w:cs="Arial"/>
        </w:rPr>
        <w:tab/>
      </w:r>
      <w:r>
        <w:rPr>
          <w:rFonts w:ascii="Arial" w:hAnsi="Arial" w:cs="Arial"/>
        </w:rPr>
        <w:t>draft CR</w:t>
      </w:r>
      <w:r>
        <w:rPr>
          <w:rFonts w:ascii="Arial" w:hAnsi="Arial" w:cs="Arial"/>
        </w:rPr>
        <w:tab/>
        <w:t>Rel-16</w:t>
      </w:r>
      <w:r>
        <w:rPr>
          <w:rFonts w:ascii="Arial" w:hAnsi="Arial" w:cs="Arial"/>
        </w:rPr>
        <w:tab/>
        <w:t>NR_Mob_enh-Core</w:t>
      </w:r>
    </w:p>
    <w:sectPr w:rsidR="00B43B65" w:rsidRPr="00382E5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1629E" w14:textId="77777777" w:rsidR="00C4113F" w:rsidRDefault="00C4113F">
      <w:r>
        <w:separator/>
      </w:r>
    </w:p>
  </w:endnote>
  <w:endnote w:type="continuationSeparator" w:id="0">
    <w:p w14:paraId="358AC947" w14:textId="77777777" w:rsidR="00C4113F" w:rsidRDefault="00C4113F">
      <w:r>
        <w:continuationSeparator/>
      </w:r>
    </w:p>
  </w:endnote>
  <w:endnote w:type="continuationNotice" w:id="1">
    <w:p w14:paraId="67D1A46D" w14:textId="77777777" w:rsidR="00C4113F" w:rsidRDefault="00C41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EB167" w14:textId="77777777" w:rsidR="00C4113F" w:rsidRDefault="00C4113F">
      <w:r>
        <w:separator/>
      </w:r>
    </w:p>
  </w:footnote>
  <w:footnote w:type="continuationSeparator" w:id="0">
    <w:p w14:paraId="07A7A38F" w14:textId="77777777" w:rsidR="00C4113F" w:rsidRDefault="00C4113F">
      <w:r>
        <w:continuationSeparator/>
      </w:r>
    </w:p>
  </w:footnote>
  <w:footnote w:type="continuationNotice" w:id="1">
    <w:p w14:paraId="6B8731F2" w14:textId="77777777" w:rsidR="00C4113F" w:rsidRDefault="00C41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8"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1"/>
  </w:num>
  <w:num w:numId="8">
    <w:abstractNumId w:val="9"/>
  </w:num>
  <w:num w:numId="9">
    <w:abstractNumId w:val="7"/>
  </w:num>
  <w:num w:numId="10">
    <w:abstractNumId w:val="10"/>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3E27"/>
    <w:rsid w:val="00036A85"/>
    <w:rsid w:val="00040095"/>
    <w:rsid w:val="00042337"/>
    <w:rsid w:val="0004393C"/>
    <w:rsid w:val="00044A21"/>
    <w:rsid w:val="0005169D"/>
    <w:rsid w:val="0005343D"/>
    <w:rsid w:val="00054BDA"/>
    <w:rsid w:val="00055729"/>
    <w:rsid w:val="00065106"/>
    <w:rsid w:val="000656C6"/>
    <w:rsid w:val="000658D1"/>
    <w:rsid w:val="000665E2"/>
    <w:rsid w:val="00066E93"/>
    <w:rsid w:val="000721ED"/>
    <w:rsid w:val="00072E4B"/>
    <w:rsid w:val="00073C25"/>
    <w:rsid w:val="00080512"/>
    <w:rsid w:val="00082C05"/>
    <w:rsid w:val="00087D20"/>
    <w:rsid w:val="00090468"/>
    <w:rsid w:val="0009078A"/>
    <w:rsid w:val="0009151D"/>
    <w:rsid w:val="0009265B"/>
    <w:rsid w:val="00095799"/>
    <w:rsid w:val="000A5DC9"/>
    <w:rsid w:val="000B0B33"/>
    <w:rsid w:val="000B15D2"/>
    <w:rsid w:val="000B5936"/>
    <w:rsid w:val="000B7BCF"/>
    <w:rsid w:val="000C1610"/>
    <w:rsid w:val="000C1DC9"/>
    <w:rsid w:val="000C29DF"/>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3616"/>
    <w:rsid w:val="001912A5"/>
    <w:rsid w:val="001924F8"/>
    <w:rsid w:val="00193E0C"/>
    <w:rsid w:val="00194CD0"/>
    <w:rsid w:val="00197620"/>
    <w:rsid w:val="001A010B"/>
    <w:rsid w:val="001A0627"/>
    <w:rsid w:val="001A3BC4"/>
    <w:rsid w:val="001B063F"/>
    <w:rsid w:val="001B49C9"/>
    <w:rsid w:val="001B4D7B"/>
    <w:rsid w:val="001B6DAF"/>
    <w:rsid w:val="001C0ACA"/>
    <w:rsid w:val="001C26C0"/>
    <w:rsid w:val="001C467F"/>
    <w:rsid w:val="001C4F79"/>
    <w:rsid w:val="001C5BDB"/>
    <w:rsid w:val="001C6DD7"/>
    <w:rsid w:val="001D1FCA"/>
    <w:rsid w:val="001D3A94"/>
    <w:rsid w:val="001D6012"/>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67B9F"/>
    <w:rsid w:val="002705D0"/>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E6106"/>
    <w:rsid w:val="002F0D22"/>
    <w:rsid w:val="002F0F1F"/>
    <w:rsid w:val="002F76C6"/>
    <w:rsid w:val="00301261"/>
    <w:rsid w:val="0030263B"/>
    <w:rsid w:val="00303270"/>
    <w:rsid w:val="00305587"/>
    <w:rsid w:val="00310CB1"/>
    <w:rsid w:val="00313DD7"/>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4B41"/>
    <w:rsid w:val="00372025"/>
    <w:rsid w:val="00377A71"/>
    <w:rsid w:val="003817FF"/>
    <w:rsid w:val="00381D38"/>
    <w:rsid w:val="00382E50"/>
    <w:rsid w:val="0038512A"/>
    <w:rsid w:val="00392DE8"/>
    <w:rsid w:val="00393360"/>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57665"/>
    <w:rsid w:val="00461F90"/>
    <w:rsid w:val="00464425"/>
    <w:rsid w:val="00471F31"/>
    <w:rsid w:val="0047699B"/>
    <w:rsid w:val="00477455"/>
    <w:rsid w:val="00482723"/>
    <w:rsid w:val="00482850"/>
    <w:rsid w:val="00483FA8"/>
    <w:rsid w:val="00484B62"/>
    <w:rsid w:val="00492FB7"/>
    <w:rsid w:val="00494CF6"/>
    <w:rsid w:val="004950FB"/>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D0DD0"/>
    <w:rsid w:val="005D36A1"/>
    <w:rsid w:val="005D7306"/>
    <w:rsid w:val="005E2FF7"/>
    <w:rsid w:val="005E43F5"/>
    <w:rsid w:val="005F0BBB"/>
    <w:rsid w:val="005F127F"/>
    <w:rsid w:val="005F367F"/>
    <w:rsid w:val="005F3B2A"/>
    <w:rsid w:val="005F48D4"/>
    <w:rsid w:val="00601032"/>
    <w:rsid w:val="00603263"/>
    <w:rsid w:val="00604CCC"/>
    <w:rsid w:val="00606696"/>
    <w:rsid w:val="0060683E"/>
    <w:rsid w:val="00607FA2"/>
    <w:rsid w:val="00611566"/>
    <w:rsid w:val="006150A0"/>
    <w:rsid w:val="00622DC4"/>
    <w:rsid w:val="00630529"/>
    <w:rsid w:val="00632ACB"/>
    <w:rsid w:val="006346C7"/>
    <w:rsid w:val="00634706"/>
    <w:rsid w:val="00634F25"/>
    <w:rsid w:val="006407DB"/>
    <w:rsid w:val="00642B9D"/>
    <w:rsid w:val="00646D99"/>
    <w:rsid w:val="006520A1"/>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C1C1D"/>
    <w:rsid w:val="006C3929"/>
    <w:rsid w:val="006C66D8"/>
    <w:rsid w:val="006C77C9"/>
    <w:rsid w:val="006D0B63"/>
    <w:rsid w:val="006D1E24"/>
    <w:rsid w:val="006D3E01"/>
    <w:rsid w:val="006D5076"/>
    <w:rsid w:val="006D56A2"/>
    <w:rsid w:val="006E1417"/>
    <w:rsid w:val="006E1AF9"/>
    <w:rsid w:val="006E206B"/>
    <w:rsid w:val="006E24F9"/>
    <w:rsid w:val="006E6B13"/>
    <w:rsid w:val="006F6A2C"/>
    <w:rsid w:val="006F72B2"/>
    <w:rsid w:val="00703EDA"/>
    <w:rsid w:val="00710201"/>
    <w:rsid w:val="0071205A"/>
    <w:rsid w:val="007121F0"/>
    <w:rsid w:val="00713939"/>
    <w:rsid w:val="007145B2"/>
    <w:rsid w:val="0071730A"/>
    <w:rsid w:val="007233F7"/>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6DC3"/>
    <w:rsid w:val="0078727C"/>
    <w:rsid w:val="0079049D"/>
    <w:rsid w:val="00791F23"/>
    <w:rsid w:val="00793749"/>
    <w:rsid w:val="00793DC5"/>
    <w:rsid w:val="007A0D32"/>
    <w:rsid w:val="007A76B3"/>
    <w:rsid w:val="007A773E"/>
    <w:rsid w:val="007B18D8"/>
    <w:rsid w:val="007B55D5"/>
    <w:rsid w:val="007B7937"/>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5B5A"/>
    <w:rsid w:val="00860877"/>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2C44"/>
    <w:rsid w:val="0089429B"/>
    <w:rsid w:val="00894776"/>
    <w:rsid w:val="00895782"/>
    <w:rsid w:val="00897055"/>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6FA7"/>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9185A"/>
    <w:rsid w:val="00A9240E"/>
    <w:rsid w:val="00A94EB8"/>
    <w:rsid w:val="00A9671C"/>
    <w:rsid w:val="00AA1553"/>
    <w:rsid w:val="00AA6373"/>
    <w:rsid w:val="00AA65FF"/>
    <w:rsid w:val="00AA697F"/>
    <w:rsid w:val="00AB4710"/>
    <w:rsid w:val="00AB7714"/>
    <w:rsid w:val="00AC3917"/>
    <w:rsid w:val="00AD5F89"/>
    <w:rsid w:val="00AD793D"/>
    <w:rsid w:val="00AE2112"/>
    <w:rsid w:val="00AE4679"/>
    <w:rsid w:val="00AF1675"/>
    <w:rsid w:val="00AF199D"/>
    <w:rsid w:val="00AF5CC7"/>
    <w:rsid w:val="00AF6889"/>
    <w:rsid w:val="00AF6C5D"/>
    <w:rsid w:val="00B00B26"/>
    <w:rsid w:val="00B05962"/>
    <w:rsid w:val="00B06A8A"/>
    <w:rsid w:val="00B07C77"/>
    <w:rsid w:val="00B15449"/>
    <w:rsid w:val="00B15949"/>
    <w:rsid w:val="00B20AC6"/>
    <w:rsid w:val="00B228F7"/>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19C7"/>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52334"/>
    <w:rsid w:val="00C55079"/>
    <w:rsid w:val="00C5681A"/>
    <w:rsid w:val="00C61310"/>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650D"/>
    <w:rsid w:val="00C97417"/>
    <w:rsid w:val="00CA3D0C"/>
    <w:rsid w:val="00CA654B"/>
    <w:rsid w:val="00CA7962"/>
    <w:rsid w:val="00CB2169"/>
    <w:rsid w:val="00CB37A6"/>
    <w:rsid w:val="00CB5D92"/>
    <w:rsid w:val="00CB6A74"/>
    <w:rsid w:val="00CB6F5B"/>
    <w:rsid w:val="00CD117E"/>
    <w:rsid w:val="00CD2B84"/>
    <w:rsid w:val="00CD4C7B"/>
    <w:rsid w:val="00CD5795"/>
    <w:rsid w:val="00CD7707"/>
    <w:rsid w:val="00CE1681"/>
    <w:rsid w:val="00CE29EF"/>
    <w:rsid w:val="00CE2CEE"/>
    <w:rsid w:val="00CE3230"/>
    <w:rsid w:val="00CE5D7F"/>
    <w:rsid w:val="00CE6889"/>
    <w:rsid w:val="00CE75DF"/>
    <w:rsid w:val="00CE7ABA"/>
    <w:rsid w:val="00CF3640"/>
    <w:rsid w:val="00D05935"/>
    <w:rsid w:val="00D10707"/>
    <w:rsid w:val="00D1188D"/>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C7746"/>
    <w:rsid w:val="00DD3638"/>
    <w:rsid w:val="00DE2EDA"/>
    <w:rsid w:val="00DE321C"/>
    <w:rsid w:val="00DE46BF"/>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1BBF"/>
    <w:rsid w:val="00E428AC"/>
    <w:rsid w:val="00E429B9"/>
    <w:rsid w:val="00E44041"/>
    <w:rsid w:val="00E45918"/>
    <w:rsid w:val="00E45C9C"/>
    <w:rsid w:val="00E46E90"/>
    <w:rsid w:val="00E471CF"/>
    <w:rsid w:val="00E47D85"/>
    <w:rsid w:val="00E50B8A"/>
    <w:rsid w:val="00E53CA3"/>
    <w:rsid w:val="00E54510"/>
    <w:rsid w:val="00E56643"/>
    <w:rsid w:val="00E569D6"/>
    <w:rsid w:val="00E56FD9"/>
    <w:rsid w:val="00E626A1"/>
    <w:rsid w:val="00E62835"/>
    <w:rsid w:val="00E70886"/>
    <w:rsid w:val="00E75D9F"/>
    <w:rsid w:val="00E77645"/>
    <w:rsid w:val="00E7764A"/>
    <w:rsid w:val="00E818D8"/>
    <w:rsid w:val="00E82E1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404A"/>
    <w:rsid w:val="00EC4A25"/>
    <w:rsid w:val="00EC7720"/>
    <w:rsid w:val="00ED1E19"/>
    <w:rsid w:val="00ED2561"/>
    <w:rsid w:val="00ED288D"/>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55E8"/>
    <w:rsid w:val="00FD7243"/>
    <w:rsid w:val="00FE153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5047244-F5D5-4F6E-8728-3271B55B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88</TotalTime>
  <Pages>2</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42</cp:revision>
  <dcterms:created xsi:type="dcterms:W3CDTF">2019-10-28T05:25:00Z</dcterms:created>
  <dcterms:modified xsi:type="dcterms:W3CDTF">2019-11-08T05:48:00Z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